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3F4CA7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F05B0C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D14E3E" w:rsidRPr="00F05B0C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20.06.2023</w:t>
            </w:r>
            <w:r w:rsidRPr="00F05B0C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 w:rsidR="00F05B0C" w:rsidRPr="00F05B0C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110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2A" w:rsidRPr="00831A75" w:rsidRDefault="00732C2A" w:rsidP="003240E0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DB3F06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bookmarkStart w:id="0" w:name="_GoBack"/>
            <w:bookmarkEnd w:id="0"/>
            <w:r w:rsidRPr="00F05B0C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D14E3E" w:rsidRPr="00F05B0C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26 </w:t>
            </w:r>
            <w:r w:rsidR="00DB3F06" w:rsidRPr="00F05B0C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июня </w:t>
            </w:r>
            <w:r w:rsidRPr="00F05B0C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202</w:t>
            </w:r>
            <w:r w:rsidR="00DB3F06" w:rsidRPr="00F05B0C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3</w:t>
            </w:r>
            <w:r w:rsidRPr="00F05B0C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3402"/>
      </w:tblGrid>
      <w:tr w:rsidR="007B17BE" w:rsidRPr="0016076E" w:rsidTr="00C921DC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16076E" w:rsidRDefault="00F67F81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</w:t>
            </w:r>
            <w:r w:rsidR="00007D4E"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F67F81" w:rsidRPr="0016076E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67F81" w:rsidRPr="0016076E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3822F7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2F7" w:rsidRPr="0016076E" w:rsidRDefault="003822F7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822F7" w:rsidRPr="0016076E" w:rsidRDefault="003822F7" w:rsidP="00E85E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Подключение к </w:t>
            </w:r>
            <w:r w:rsidR="00E85EB4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WEB-сервису «Личный кабинет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Акционера</w:t>
            </w:r>
            <w:r w:rsidR="00E85EB4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»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(ЛКА).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822F7" w:rsidRPr="0016076E" w:rsidRDefault="003822F7" w:rsidP="00C921DC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бесплатно</w:t>
            </w:r>
          </w:p>
        </w:tc>
      </w:tr>
      <w:tr w:rsidR="00156133" w:rsidRPr="0016076E" w:rsidTr="00C921D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16076E" w:rsidRDefault="00F174C4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16076E" w:rsidRDefault="007F355E" w:rsidP="00CB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ПРОВЕДЕНИЕ ОПЕРАЦИ</w:t>
            </w:r>
            <w:r w:rsidR="00CB0215"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Й</w:t>
            </w: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В РЕЕСТРЕ</w:t>
            </w:r>
          </w:p>
        </w:tc>
      </w:tr>
      <w:tr w:rsidR="007B17BE" w:rsidRPr="0016076E" w:rsidTr="00C921DC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16076E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E94C0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4C06"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16076E" w:rsidRDefault="007D535B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</w:t>
            </w:r>
            <w:r w:rsidR="00EF7F5E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208-ФЗ «Об акционерных обществах».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16076E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  <w:p w:rsidR="007D535B" w:rsidRPr="0016076E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одну запись по одному лицевому счету</w:t>
            </w:r>
          </w:p>
        </w:tc>
      </w:tr>
      <w:tr w:rsidR="00DB3F06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об объединении лицевых счетов:</w:t>
            </w:r>
          </w:p>
        </w:tc>
      </w:tr>
      <w:tr w:rsidR="00DB3F06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</w:tc>
      </w:tr>
      <w:tr w:rsidR="00DB3F06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BC7663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00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1 000,00</w:t>
            </w:r>
          </w:p>
        </w:tc>
      </w:tr>
      <w:tr w:rsidR="00DB3F06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в реестр информации о залогодержателе:</w:t>
            </w:r>
          </w:p>
        </w:tc>
      </w:tr>
      <w:tr w:rsidR="00BC7663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135,00</w:t>
            </w:r>
          </w:p>
        </w:tc>
      </w:tr>
      <w:tr w:rsidR="00BC7663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650,00</w:t>
            </w:r>
          </w:p>
        </w:tc>
      </w:tr>
      <w:tr w:rsidR="00BC7663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BC7663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1 300,00</w:t>
            </w:r>
          </w:p>
        </w:tc>
      </w:tr>
      <w:tr w:rsidR="007F355E" w:rsidRPr="0016076E" w:rsidTr="00C921D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16076E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ПРЕДОСТАВЛЕНИЕ ИНФОРМАЦИИ ИЗ РЕЕСТРА</w:t>
            </w:r>
            <w:r w:rsidR="00675D12"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(на бумажном носителе)</w:t>
            </w:r>
          </w:p>
        </w:tc>
      </w:tr>
      <w:tr w:rsidR="007B17BE" w:rsidRPr="0016076E" w:rsidTr="00C921D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  <w:r w:rsidR="0053105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7B17BE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E92432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залогодержател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ю выписки (отчета) о </w:t>
            </w:r>
            <w:r w:rsidR="005A7C9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наличии зарегистрированного залога</w:t>
            </w:r>
            <w:r w:rsidR="0053105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A7C92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B3F0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7B17BE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егистратором</w:t>
            </w:r>
            <w:r w:rsidR="0053105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A7C92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3B28CA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7B17BE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</w:t>
            </w:r>
            <w:r w:rsidR="0053105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B28CA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7B17BE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  <w:r w:rsidR="00FC6C6A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каждый период выплат</w:t>
            </w:r>
          </w:p>
        </w:tc>
      </w:tr>
      <w:tr w:rsidR="007B17BE" w:rsidRPr="0016076E" w:rsidTr="00C921D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3822F7" w:rsidRPr="0016076E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  <w:r w:rsidR="00FC6C6A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но не менее</w:t>
            </w:r>
          </w:p>
          <w:p w:rsidR="005645F6" w:rsidRPr="0016076E" w:rsidRDefault="00FC6C6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822F7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5A2B2B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16076E" w:rsidTr="00C921D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5645F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FC6C6A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информации,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необходимой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для представления гражданам сведений о доходах, расходах, об имуществе и обязательствах имущественного характера</w:t>
            </w:r>
            <w:r w:rsidR="0053105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6076E" w:rsidRDefault="00FC6C6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B3F0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CB021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16076E" w:rsidTr="00C921D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16076E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9B67A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9B67A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16076E" w:rsidRDefault="009B67A5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16076E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за одну запись,</w:t>
            </w:r>
          </w:p>
          <w:p w:rsidR="003B28CA" w:rsidRPr="0016076E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5</w:t>
            </w:r>
            <w:r w:rsidR="003B28CA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000,00,</w:t>
            </w:r>
          </w:p>
          <w:p w:rsidR="00531055" w:rsidRPr="0016076E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</w:t>
            </w:r>
          </w:p>
          <w:p w:rsidR="009B67A5" w:rsidRPr="0016076E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3B28CA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DB3F06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4F2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</w:t>
            </w:r>
            <w:r w:rsidR="00E85EB4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е </w:t>
            </w:r>
            <w:r w:rsidR="004F257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информации</w:t>
            </w:r>
            <w:r w:rsidR="00E85EB4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через ЛКА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или на электронном носителе.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943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80% от стоимости </w:t>
            </w:r>
            <w:r w:rsidR="00943CC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информации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на бумажном носителе</w:t>
            </w:r>
          </w:p>
        </w:tc>
      </w:tr>
      <w:tr w:rsidR="00DB3F06" w:rsidRPr="0016076E" w:rsidTr="00C921DC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F06" w:rsidRPr="0016076E" w:rsidRDefault="00DB3F06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ИНЫЕ УСЛУГИ</w:t>
            </w:r>
          </w:p>
        </w:tc>
      </w:tr>
      <w:tr w:rsidR="00DB3F06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документов сотрудником Регистратора (за один бланк):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1 000,00</w:t>
            </w:r>
          </w:p>
        </w:tc>
      </w:tr>
      <w:tr w:rsidR="00DB3F06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отдельных документов сотрудником Регистратора (за один бланк):</w:t>
            </w:r>
          </w:p>
        </w:tc>
      </w:tr>
      <w:tr w:rsidR="00DB3F06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Соглашения о разделе наследуемых ценных бумаг;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B3F06" w:rsidRPr="0016076E" w:rsidTr="00C921D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Доверенности на уполномоченного представителя зарегистрированного лица.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1 000,00</w:t>
            </w:r>
          </w:p>
        </w:tc>
      </w:tr>
      <w:tr w:rsidR="00DB3F06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Предварительная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владельцев ценных бумаг (для одного лица):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E712B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  <w:r w:rsidR="00BC766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15 000,00</w:t>
            </w:r>
          </w:p>
        </w:tc>
      </w:tr>
      <w:tr w:rsidR="00DB3F06" w:rsidRPr="0016076E" w:rsidTr="00C921D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распоряжений на предоставление информации из реестра владельцев ценных бумаг (для одного лица):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E712B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="00BC766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1 500,00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10 000,00</w:t>
            </w:r>
          </w:p>
        </w:tc>
      </w:tr>
      <w:tr w:rsidR="00DB3F06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экспертизы комплекта документов, при исполнении операции ранее сроков, установленных действующим законодательством (за исключением случаев, предусмотренных п. 3.5)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1 500,00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4752BF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20 000,00</w:t>
            </w:r>
          </w:p>
        </w:tc>
      </w:tr>
      <w:tr w:rsidR="00DB3F06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BC7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Проведение экспертизы комплекта документов, при исполнении </w:t>
            </w:r>
            <w:r w:rsidR="00BC766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операции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 течение 3 часов*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BC766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</w:t>
            </w:r>
          </w:p>
        </w:tc>
      </w:tr>
      <w:tr w:rsidR="00BC7663" w:rsidRPr="0016076E" w:rsidTr="00C921D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6076E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30 000,00</w:t>
            </w:r>
          </w:p>
        </w:tc>
      </w:tr>
      <w:tr w:rsidR="00DB3F06" w:rsidRPr="0016076E" w:rsidTr="00C921D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порядку совершения сделки с ценными бумагами</w:t>
            </w:r>
            <w:r w:rsidR="00EF7F5E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участием лиц «недружественных» государств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6076E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30 000,00</w:t>
            </w:r>
          </w:p>
        </w:tc>
      </w:tr>
      <w:tr w:rsidR="00D9664D" w:rsidRPr="0016076E" w:rsidTr="00D9664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6A6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ранее сроков, установленных действующим законодательством</w:t>
            </w:r>
            <w:r w:rsidR="006A6F90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(за исключением случаев, предусмотренных п. 3.8)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**:</w:t>
            </w:r>
          </w:p>
        </w:tc>
      </w:tr>
      <w:tr w:rsidR="00D9664D" w:rsidRPr="0016076E" w:rsidTr="00D9664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1 500,00</w:t>
            </w:r>
          </w:p>
        </w:tc>
      </w:tr>
      <w:tr w:rsidR="00D9664D" w:rsidRPr="0016076E" w:rsidTr="00D9664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6 000,00</w:t>
            </w:r>
          </w:p>
        </w:tc>
      </w:tr>
      <w:tr w:rsidR="00D9664D" w:rsidRPr="0016076E" w:rsidTr="00D9664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2 000,00</w:t>
            </w:r>
          </w:p>
        </w:tc>
      </w:tr>
      <w:tr w:rsidR="00D9664D" w:rsidRPr="0016076E" w:rsidTr="00D9664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10 000,00</w:t>
            </w:r>
          </w:p>
        </w:tc>
      </w:tr>
      <w:tr w:rsidR="00D9664D" w:rsidRPr="0016076E" w:rsidTr="00D9664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в течение 3 часов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**:</w:t>
            </w:r>
          </w:p>
        </w:tc>
      </w:tr>
      <w:tr w:rsidR="00D9664D" w:rsidRPr="0016076E" w:rsidTr="009574A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4752BF" w:rsidP="00957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2 500,00</w:t>
            </w:r>
          </w:p>
        </w:tc>
      </w:tr>
      <w:tr w:rsidR="00D9664D" w:rsidRPr="0016076E" w:rsidTr="009574A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4752BF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8 000,00</w:t>
            </w:r>
          </w:p>
        </w:tc>
      </w:tr>
      <w:tr w:rsidR="00D9664D" w:rsidRPr="0016076E" w:rsidTr="009574A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4752BF" w:rsidP="00957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3 500,00</w:t>
            </w:r>
          </w:p>
        </w:tc>
      </w:tr>
      <w:tr w:rsidR="00D9664D" w:rsidRPr="0016076E" w:rsidTr="009574AF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57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4752BF" w:rsidP="005A2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5A2BD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9664D" w:rsidRPr="0016076E" w:rsidTr="009A0E12">
        <w:trPr>
          <w:cantSplit/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A0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информации, внесение записей в реестр, не связанных с переходом права собственности на ЦБ и </w:t>
            </w:r>
            <w:r w:rsidR="009A0E1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обременением/снятием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обременения ЦБ, ранее сроков, установленных действующим законодательством (за исключением случаев, предусмотренных</w:t>
            </w:r>
            <w:r w:rsidR="004752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п. 3.7.</w:t>
            </w:r>
            <w:r w:rsidR="0006496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п. 3.8. и</w:t>
            </w:r>
            <w:r w:rsidR="001A4F8D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п. 3.</w:t>
            </w:r>
            <w:r w:rsidR="0006496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).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услуги,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2 000,00</w:t>
            </w:r>
          </w:p>
        </w:tc>
      </w:tr>
      <w:tr w:rsidR="00D9664D" w:rsidRPr="0016076E" w:rsidTr="009A0E1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9A0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</w:t>
            </w:r>
            <w:r w:rsidR="009A0E1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собственности на ЦБ и </w:t>
            </w:r>
            <w:r w:rsidR="008B3397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обременением</w:t>
            </w:r>
            <w:r w:rsidR="009A0E1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/снятием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обременения ЦБ, в течение 3 часов</w:t>
            </w:r>
            <w:r w:rsidR="0006496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(за исключением случаев, предусмотренных </w:t>
            </w:r>
            <w:r w:rsidR="00FA607D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п. 3.7. и п. 3.8.</w:t>
            </w:r>
            <w:r w:rsidR="0006496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услуги,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3 000,00</w:t>
            </w:r>
          </w:p>
        </w:tc>
      </w:tr>
      <w:tr w:rsidR="00D9664D" w:rsidRPr="0016076E" w:rsidTr="00C921DC">
        <w:trPr>
          <w:cantSplit/>
          <w:trHeight w:val="102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6076E" w:rsidRDefault="00D9664D" w:rsidP="009A0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</w:t>
            </w:r>
            <w:r w:rsidR="009A0E1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внесение записей об обременении/снятии обременения 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 в реестре владельцев ценных бумаг ранее сроков, предусмотренных действующим законодательством (за исключением случаев, предусмотренных п. 3.</w:t>
            </w:r>
            <w:r w:rsidR="00064966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D6EA8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).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15 000,00</w:t>
            </w:r>
          </w:p>
        </w:tc>
      </w:tr>
      <w:tr w:rsidR="00D9664D" w:rsidRPr="0016076E" w:rsidTr="00C921DC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6076E" w:rsidRDefault="00D9664D" w:rsidP="009A0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</w:t>
            </w:r>
            <w:r w:rsidR="009A0E12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внесение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записей об обременении/снятии обременения ценных бумаг в реестре владельцев ценных бумаг в течение 3 часов.</w:t>
            </w:r>
            <w:r w:rsidR="005733BF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</w:t>
            </w:r>
          </w:p>
          <w:p w:rsidR="00D9664D" w:rsidRPr="0016076E" w:rsidRDefault="00D9664D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но не менее </w:t>
            </w:r>
            <w:r w:rsidR="00E712B3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Федеральной налоговой службой России.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3.14.1.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3.14.2.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3.14.3.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3.14.4.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E712B3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  <w:r w:rsidR="00D9664D"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3.14.5.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3.14.6.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3.15.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 + НДС</w:t>
            </w:r>
          </w:p>
        </w:tc>
      </w:tr>
      <w:tr w:rsidR="00D9664D" w:rsidRPr="0016076E" w:rsidTr="00C921DC">
        <w:trPr>
          <w:cantSplit/>
          <w:trHeight w:val="79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отправку документов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применением коэффициента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1,2 + НДС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документов курьером Регистратора (в пределах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места нахождения Регистратора / подразделения Регистратора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2 000,00 за одну доставку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3.18.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10 000,00 к стоимости услуг нотариуса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3.19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Изготовление копии решения о выпуске ценных бумаг.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3.20.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D9664D" w:rsidRPr="0016076E" w:rsidTr="00C921DC">
        <w:trPr>
          <w:cantSplit/>
          <w:trHeight w:val="1531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3.21.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города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 + НДС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области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 + НДС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10 000,00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3.22.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3.23.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850,00 + НДС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</w:t>
            </w:r>
          </w:p>
        </w:tc>
        <w:tc>
          <w:tcPr>
            <w:tcW w:w="9639" w:type="dxa"/>
            <w:gridSpan w:val="2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офисе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3.24.1.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лиц;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2 000,00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3.24.2.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3 000,00 + НДС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3.25.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переговорной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5 000,00 + НДС</w:t>
            </w:r>
          </w:p>
        </w:tc>
      </w:tr>
      <w:tr w:rsidR="00D9664D" w:rsidRPr="0016076E" w:rsidTr="00C921DC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D9664D" w:rsidRPr="0016076E" w:rsidRDefault="00D9664D" w:rsidP="009574AF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ПО ПРЕДОСТАВЛЕНИЮ КЛИЕНТАМ РЕГИСТРАТОРА </w:t>
            </w:r>
            <w:proofErr w:type="gramStart"/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ПРОГРАММНЫХ</w:t>
            </w:r>
            <w:proofErr w:type="gramEnd"/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</w:p>
          <w:p w:rsidR="00D9664D" w:rsidRPr="0016076E" w:rsidRDefault="00D9664D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 ТЕХНИЧЕСКИХ СРЕДСТВ ДЛЯ УДАЛЕННОГО ДОСТУПА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</w:t>
            </w:r>
          </w:p>
        </w:tc>
        <w:tc>
          <w:tcPr>
            <w:tcW w:w="9639" w:type="dxa"/>
            <w:gridSpan w:val="2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WEB-сервис «Реестр </w:t>
            </w:r>
            <w:proofErr w:type="spell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 для Зарегистрированного Лица (организация юридически значимого электронного документооборота с Регистратором).</w:t>
            </w:r>
          </w:p>
        </w:tc>
      </w:tr>
      <w:tr w:rsidR="00D9664D" w:rsidRPr="0016076E" w:rsidTr="00C921DC">
        <w:trPr>
          <w:cantSplit/>
          <w:trHeight w:val="1701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Подключение услуги WEB-сервис «Реестр </w:t>
            </w:r>
            <w:proofErr w:type="spell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10 000,00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(одно рабочее место)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Стоимость указана с учетом предоставления доступа ко всем счетам Акционера в </w:t>
            </w:r>
            <w:proofErr w:type="gramStart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реестрах</w:t>
            </w:r>
            <w:proofErr w:type="gramEnd"/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ведение которых осуществляет АО «Сервис-Реестр», если иное не установлено в соглашении</w:t>
            </w:r>
          </w:p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Эмитентом</w:t>
            </w:r>
          </w:p>
        </w:tc>
      </w:tr>
      <w:tr w:rsidR="00D9664D" w:rsidRPr="0016076E" w:rsidTr="00C921D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4.1.2.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соответствии с действующим Прейскурантом Регистратора</w:t>
            </w:r>
          </w:p>
        </w:tc>
      </w:tr>
      <w:tr w:rsidR="00D9664D" w:rsidRPr="0016076E" w:rsidTr="00C921D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4.1.3.</w:t>
            </w:r>
          </w:p>
        </w:tc>
        <w:tc>
          <w:tcPr>
            <w:tcW w:w="6237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3402" w:type="dxa"/>
            <w:vAlign w:val="center"/>
          </w:tcPr>
          <w:p w:rsidR="00D9664D" w:rsidRPr="0016076E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607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 ежегодно</w:t>
            </w:r>
          </w:p>
        </w:tc>
      </w:tr>
    </w:tbl>
    <w:p w:rsidR="00675D12" w:rsidRPr="0016076E" w:rsidRDefault="00675D12" w:rsidP="00675D12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  <w:lang w:val="en-US"/>
        </w:rPr>
      </w:pPr>
    </w:p>
    <w:p w:rsidR="005733BF" w:rsidRPr="0016076E" w:rsidRDefault="005733BF" w:rsidP="00083278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* Услуга оказывается в соответствии с функциональными возможностями </w:t>
      </w:r>
      <w:r w:rsidR="00E85EB4" w:rsidRPr="0016076E">
        <w:rPr>
          <w:rFonts w:ascii="Times New Roman" w:hAnsi="Times New Roman" w:cs="Times New Roman"/>
          <w:color w:val="000099"/>
          <w:sz w:val="18"/>
          <w:szCs w:val="18"/>
        </w:rPr>
        <w:t>ЛКА</w:t>
      </w:r>
      <w:r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 и утвержденным</w:t>
      </w:r>
      <w:r w:rsidR="005A6DDF">
        <w:rPr>
          <w:rFonts w:ascii="Times New Roman" w:hAnsi="Times New Roman" w:cs="Times New Roman"/>
          <w:color w:val="000099"/>
          <w:sz w:val="18"/>
          <w:szCs w:val="18"/>
        </w:rPr>
        <w:t>и</w:t>
      </w:r>
      <w:r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 </w:t>
      </w:r>
      <w:r w:rsidR="00E85EB4" w:rsidRPr="0016076E">
        <w:rPr>
          <w:rFonts w:ascii="Times New Roman" w:hAnsi="Times New Roman" w:cs="Times New Roman"/>
          <w:color w:val="000099"/>
          <w:sz w:val="18"/>
          <w:szCs w:val="18"/>
        </w:rPr>
        <w:t>Правилами</w:t>
      </w:r>
      <w:r w:rsidR="00083278"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 использования данного </w:t>
      </w:r>
      <w:r w:rsidR="00083278" w:rsidRPr="0016076E">
        <w:rPr>
          <w:rFonts w:ascii="Times New Roman" w:hAnsi="Times New Roman" w:cs="Times New Roman"/>
          <w:color w:val="000099"/>
          <w:sz w:val="18"/>
          <w:szCs w:val="18"/>
          <w:lang w:val="en-US"/>
        </w:rPr>
        <w:t>WEB</w:t>
      </w:r>
      <w:r w:rsidRPr="0016076E">
        <w:rPr>
          <w:rFonts w:ascii="Times New Roman" w:hAnsi="Times New Roman" w:cs="Times New Roman"/>
          <w:color w:val="000099"/>
          <w:sz w:val="18"/>
          <w:szCs w:val="18"/>
        </w:rPr>
        <w:t>-сервиса.</w:t>
      </w:r>
    </w:p>
    <w:p w:rsidR="00675D12" w:rsidRPr="0016076E" w:rsidRDefault="005733BF" w:rsidP="00083278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6076E">
        <w:rPr>
          <w:rFonts w:ascii="Times New Roman" w:hAnsi="Times New Roman" w:cs="Times New Roman"/>
          <w:color w:val="000099"/>
          <w:sz w:val="18"/>
          <w:szCs w:val="18"/>
        </w:rPr>
        <w:t>*</w:t>
      </w:r>
      <w:r w:rsidR="00675D12"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* Услуга оказывается при технической возможности. Регистратор имеет право отказать в </w:t>
      </w:r>
      <w:proofErr w:type="gramStart"/>
      <w:r w:rsidR="00675D12" w:rsidRPr="0016076E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="00675D12"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675D12" w:rsidRPr="0016076E" w:rsidRDefault="00675D12" w:rsidP="00083278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6076E">
        <w:rPr>
          <w:rFonts w:ascii="Times New Roman" w:hAnsi="Times New Roman" w:cs="Times New Roman"/>
          <w:color w:val="000099"/>
          <w:sz w:val="18"/>
          <w:szCs w:val="18"/>
        </w:rPr>
        <w:t>*</w:t>
      </w:r>
      <w:r w:rsidR="005733BF" w:rsidRPr="0016076E">
        <w:rPr>
          <w:rFonts w:ascii="Times New Roman" w:hAnsi="Times New Roman" w:cs="Times New Roman"/>
          <w:color w:val="000099"/>
          <w:sz w:val="18"/>
          <w:szCs w:val="18"/>
        </w:rPr>
        <w:t>*</w:t>
      </w:r>
      <w:r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* Услуга оказывается при технической возможности и при условии подачи документов до 15.00 часов текущего дня. Регистратор имеет право отказать в </w:t>
      </w:r>
      <w:proofErr w:type="gramStart"/>
      <w:r w:rsidRPr="0016076E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675D12" w:rsidRPr="0016076E" w:rsidRDefault="00675D12" w:rsidP="00675D12">
      <w:pPr>
        <w:spacing w:after="0" w:line="240" w:lineRule="auto"/>
        <w:jc w:val="both"/>
        <w:rPr>
          <w:color w:val="000099"/>
          <w:sz w:val="18"/>
          <w:szCs w:val="18"/>
        </w:rPr>
      </w:pPr>
      <w:r w:rsidRPr="0016076E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675D12" w:rsidRPr="0016076E" w:rsidRDefault="00675D12" w:rsidP="00083278">
      <w:pPr>
        <w:spacing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proofErr w:type="gramStart"/>
      <w:r w:rsidRPr="0016076E">
        <w:rPr>
          <w:rFonts w:ascii="Times New Roman" w:hAnsi="Times New Roman" w:cs="Times New Roman"/>
          <w:color w:val="000099"/>
          <w:sz w:val="18"/>
          <w:szCs w:val="18"/>
        </w:rPr>
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</w:r>
      <w:proofErr w:type="gramEnd"/>
    </w:p>
    <w:p w:rsidR="00CB254A" w:rsidRPr="0016076E" w:rsidRDefault="00675D12" w:rsidP="00675D12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Регистратор имеет право отказать в </w:t>
      </w:r>
      <w:proofErr w:type="gramStart"/>
      <w:r w:rsidRPr="0016076E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16076E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sectPr w:rsidR="00CB254A" w:rsidRPr="0016076E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AF" w:rsidRDefault="009574AF" w:rsidP="00C27ADF">
      <w:pPr>
        <w:spacing w:after="0" w:line="240" w:lineRule="auto"/>
      </w:pPr>
      <w:r>
        <w:separator/>
      </w:r>
    </w:p>
  </w:endnote>
  <w:endnote w:type="continuationSeparator" w:id="0">
    <w:p w:rsidR="009574AF" w:rsidRDefault="009574A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574AF" w:rsidRPr="00C11FD2" w:rsidRDefault="001753C2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574AF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A6DDF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9574AF" w:rsidRPr="0041192C" w:rsidRDefault="009574AF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AF" w:rsidRDefault="009574AF" w:rsidP="00C27ADF">
      <w:pPr>
        <w:spacing w:after="0" w:line="240" w:lineRule="auto"/>
      </w:pPr>
      <w:r>
        <w:separator/>
      </w:r>
    </w:p>
  </w:footnote>
  <w:footnote w:type="continuationSeparator" w:id="0">
    <w:p w:rsidR="009574AF" w:rsidRDefault="009574A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20BF7"/>
    <w:rsid w:val="0003742B"/>
    <w:rsid w:val="000542E5"/>
    <w:rsid w:val="00062ADB"/>
    <w:rsid w:val="00064614"/>
    <w:rsid w:val="00064966"/>
    <w:rsid w:val="00070C04"/>
    <w:rsid w:val="00082362"/>
    <w:rsid w:val="00083278"/>
    <w:rsid w:val="000906C6"/>
    <w:rsid w:val="000933CB"/>
    <w:rsid w:val="00097A64"/>
    <w:rsid w:val="000A2020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558D"/>
    <w:rsid w:val="00143932"/>
    <w:rsid w:val="00156133"/>
    <w:rsid w:val="0016076E"/>
    <w:rsid w:val="00172128"/>
    <w:rsid w:val="001753C2"/>
    <w:rsid w:val="00176467"/>
    <w:rsid w:val="00181DEE"/>
    <w:rsid w:val="001826AF"/>
    <w:rsid w:val="00187170"/>
    <w:rsid w:val="00194285"/>
    <w:rsid w:val="001958A8"/>
    <w:rsid w:val="001A107F"/>
    <w:rsid w:val="001A4BEE"/>
    <w:rsid w:val="001A4F8D"/>
    <w:rsid w:val="001A5401"/>
    <w:rsid w:val="001E5DE0"/>
    <w:rsid w:val="002144BD"/>
    <w:rsid w:val="002161BC"/>
    <w:rsid w:val="00231D11"/>
    <w:rsid w:val="00250FAC"/>
    <w:rsid w:val="00251BD5"/>
    <w:rsid w:val="00263497"/>
    <w:rsid w:val="00267845"/>
    <w:rsid w:val="00271AE2"/>
    <w:rsid w:val="0029239C"/>
    <w:rsid w:val="002A1A65"/>
    <w:rsid w:val="002A5642"/>
    <w:rsid w:val="002A5976"/>
    <w:rsid w:val="002B26A9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240E0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2F7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0CD1"/>
    <w:rsid w:val="003D3405"/>
    <w:rsid w:val="003D41A6"/>
    <w:rsid w:val="003E6389"/>
    <w:rsid w:val="003E66BE"/>
    <w:rsid w:val="003F009F"/>
    <w:rsid w:val="003F1149"/>
    <w:rsid w:val="003F4CA7"/>
    <w:rsid w:val="003F67C4"/>
    <w:rsid w:val="003F71B6"/>
    <w:rsid w:val="00403133"/>
    <w:rsid w:val="004074EE"/>
    <w:rsid w:val="0041192C"/>
    <w:rsid w:val="00451370"/>
    <w:rsid w:val="0045658A"/>
    <w:rsid w:val="00470F4C"/>
    <w:rsid w:val="004737F6"/>
    <w:rsid w:val="00474716"/>
    <w:rsid w:val="004752BF"/>
    <w:rsid w:val="00475E86"/>
    <w:rsid w:val="00485B02"/>
    <w:rsid w:val="004951E6"/>
    <w:rsid w:val="00495382"/>
    <w:rsid w:val="004A6873"/>
    <w:rsid w:val="004E4290"/>
    <w:rsid w:val="004F2573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731EC"/>
    <w:rsid w:val="005733BF"/>
    <w:rsid w:val="00581425"/>
    <w:rsid w:val="0058206C"/>
    <w:rsid w:val="005A2B2B"/>
    <w:rsid w:val="005A2BD6"/>
    <w:rsid w:val="005A3170"/>
    <w:rsid w:val="005A6DDF"/>
    <w:rsid w:val="005A7C92"/>
    <w:rsid w:val="005C2DFF"/>
    <w:rsid w:val="005D6307"/>
    <w:rsid w:val="005F2F72"/>
    <w:rsid w:val="005F7054"/>
    <w:rsid w:val="00605C30"/>
    <w:rsid w:val="00606F4D"/>
    <w:rsid w:val="006137D7"/>
    <w:rsid w:val="006139AD"/>
    <w:rsid w:val="0062763D"/>
    <w:rsid w:val="00651D6D"/>
    <w:rsid w:val="00665729"/>
    <w:rsid w:val="00667506"/>
    <w:rsid w:val="00675D12"/>
    <w:rsid w:val="00681793"/>
    <w:rsid w:val="00685D64"/>
    <w:rsid w:val="00686EEC"/>
    <w:rsid w:val="00686F9F"/>
    <w:rsid w:val="00692878"/>
    <w:rsid w:val="006A6378"/>
    <w:rsid w:val="006A6F90"/>
    <w:rsid w:val="006C1132"/>
    <w:rsid w:val="006E2261"/>
    <w:rsid w:val="006E4914"/>
    <w:rsid w:val="00700A62"/>
    <w:rsid w:val="00713D95"/>
    <w:rsid w:val="00722F9B"/>
    <w:rsid w:val="00732C2A"/>
    <w:rsid w:val="00735B90"/>
    <w:rsid w:val="007365C9"/>
    <w:rsid w:val="00736EC2"/>
    <w:rsid w:val="007409B3"/>
    <w:rsid w:val="0074119A"/>
    <w:rsid w:val="007416A1"/>
    <w:rsid w:val="00750008"/>
    <w:rsid w:val="007512F3"/>
    <w:rsid w:val="00771449"/>
    <w:rsid w:val="00795604"/>
    <w:rsid w:val="007B17BE"/>
    <w:rsid w:val="007C3F3D"/>
    <w:rsid w:val="007C6A0C"/>
    <w:rsid w:val="007D07A6"/>
    <w:rsid w:val="007D535B"/>
    <w:rsid w:val="007E5ECD"/>
    <w:rsid w:val="007E6808"/>
    <w:rsid w:val="007F355E"/>
    <w:rsid w:val="008074D1"/>
    <w:rsid w:val="00831A75"/>
    <w:rsid w:val="00832995"/>
    <w:rsid w:val="0083535D"/>
    <w:rsid w:val="00857CBC"/>
    <w:rsid w:val="00864F07"/>
    <w:rsid w:val="0086540D"/>
    <w:rsid w:val="00874BAF"/>
    <w:rsid w:val="00883DB2"/>
    <w:rsid w:val="0089792B"/>
    <w:rsid w:val="008A36DF"/>
    <w:rsid w:val="008B3397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31A3"/>
    <w:rsid w:val="00906D7D"/>
    <w:rsid w:val="00907ABA"/>
    <w:rsid w:val="00910916"/>
    <w:rsid w:val="009357C5"/>
    <w:rsid w:val="00941F16"/>
    <w:rsid w:val="00942B48"/>
    <w:rsid w:val="00943CC6"/>
    <w:rsid w:val="00946295"/>
    <w:rsid w:val="00952818"/>
    <w:rsid w:val="009574AF"/>
    <w:rsid w:val="00960A39"/>
    <w:rsid w:val="0096172D"/>
    <w:rsid w:val="00964E64"/>
    <w:rsid w:val="009659DD"/>
    <w:rsid w:val="00987127"/>
    <w:rsid w:val="00991C9F"/>
    <w:rsid w:val="009A0E12"/>
    <w:rsid w:val="009A112A"/>
    <w:rsid w:val="009B4F50"/>
    <w:rsid w:val="009B67A5"/>
    <w:rsid w:val="009C051B"/>
    <w:rsid w:val="009C1994"/>
    <w:rsid w:val="009C4B06"/>
    <w:rsid w:val="009D00DB"/>
    <w:rsid w:val="009D1F6B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86075"/>
    <w:rsid w:val="00A93672"/>
    <w:rsid w:val="00AB0458"/>
    <w:rsid w:val="00AB0FA7"/>
    <w:rsid w:val="00AD2E1C"/>
    <w:rsid w:val="00AD3FD0"/>
    <w:rsid w:val="00AE555A"/>
    <w:rsid w:val="00AE7070"/>
    <w:rsid w:val="00B00B84"/>
    <w:rsid w:val="00B00BAC"/>
    <w:rsid w:val="00B13FEA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80F5F"/>
    <w:rsid w:val="00B919D9"/>
    <w:rsid w:val="00BA4222"/>
    <w:rsid w:val="00BC1027"/>
    <w:rsid w:val="00BC33CD"/>
    <w:rsid w:val="00BC7663"/>
    <w:rsid w:val="00BD2A51"/>
    <w:rsid w:val="00BE155E"/>
    <w:rsid w:val="00BE4FDD"/>
    <w:rsid w:val="00BE74EB"/>
    <w:rsid w:val="00BF51FB"/>
    <w:rsid w:val="00BF72E7"/>
    <w:rsid w:val="00BF7EE5"/>
    <w:rsid w:val="00C01A8F"/>
    <w:rsid w:val="00C053A8"/>
    <w:rsid w:val="00C05ADF"/>
    <w:rsid w:val="00C11FD2"/>
    <w:rsid w:val="00C21819"/>
    <w:rsid w:val="00C27ADF"/>
    <w:rsid w:val="00C34A62"/>
    <w:rsid w:val="00C356BE"/>
    <w:rsid w:val="00C404C5"/>
    <w:rsid w:val="00C42DEE"/>
    <w:rsid w:val="00C605EA"/>
    <w:rsid w:val="00C632E3"/>
    <w:rsid w:val="00C636B7"/>
    <w:rsid w:val="00C63C2A"/>
    <w:rsid w:val="00C66A3A"/>
    <w:rsid w:val="00C8562C"/>
    <w:rsid w:val="00C875D6"/>
    <w:rsid w:val="00C87F3E"/>
    <w:rsid w:val="00C921DC"/>
    <w:rsid w:val="00C97CC3"/>
    <w:rsid w:val="00CB0215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14E3E"/>
    <w:rsid w:val="00D24494"/>
    <w:rsid w:val="00D255B6"/>
    <w:rsid w:val="00D277EC"/>
    <w:rsid w:val="00D319A7"/>
    <w:rsid w:val="00D3673E"/>
    <w:rsid w:val="00D37309"/>
    <w:rsid w:val="00D37418"/>
    <w:rsid w:val="00D412E8"/>
    <w:rsid w:val="00D44F93"/>
    <w:rsid w:val="00D6363F"/>
    <w:rsid w:val="00D8379A"/>
    <w:rsid w:val="00D84B06"/>
    <w:rsid w:val="00D9664D"/>
    <w:rsid w:val="00DB0203"/>
    <w:rsid w:val="00DB3BC5"/>
    <w:rsid w:val="00DB3F06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4B3"/>
    <w:rsid w:val="00E67802"/>
    <w:rsid w:val="00E712B3"/>
    <w:rsid w:val="00E85EB4"/>
    <w:rsid w:val="00E863EB"/>
    <w:rsid w:val="00E91171"/>
    <w:rsid w:val="00E91BFA"/>
    <w:rsid w:val="00E92432"/>
    <w:rsid w:val="00E94C06"/>
    <w:rsid w:val="00E94C66"/>
    <w:rsid w:val="00EA0160"/>
    <w:rsid w:val="00EB280A"/>
    <w:rsid w:val="00EC4892"/>
    <w:rsid w:val="00EF25DE"/>
    <w:rsid w:val="00EF2C20"/>
    <w:rsid w:val="00EF5643"/>
    <w:rsid w:val="00EF7F5E"/>
    <w:rsid w:val="00F048D7"/>
    <w:rsid w:val="00F05B0C"/>
    <w:rsid w:val="00F07C4E"/>
    <w:rsid w:val="00F1035E"/>
    <w:rsid w:val="00F10CB2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1F1D"/>
    <w:rsid w:val="00FA607D"/>
    <w:rsid w:val="00FA636E"/>
    <w:rsid w:val="00FB1C3A"/>
    <w:rsid w:val="00FB6A0E"/>
    <w:rsid w:val="00FB7F70"/>
    <w:rsid w:val="00FC3458"/>
    <w:rsid w:val="00FC6C6A"/>
    <w:rsid w:val="00FC7812"/>
    <w:rsid w:val="00FD024F"/>
    <w:rsid w:val="00FD098C"/>
    <w:rsid w:val="00FD21BD"/>
    <w:rsid w:val="00FD514A"/>
    <w:rsid w:val="00FD6AC7"/>
    <w:rsid w:val="00FD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A70C-E347-4614-BCD3-55F0A6B3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5</cp:revision>
  <cp:lastPrinted>2020-02-10T12:06:00Z</cp:lastPrinted>
  <dcterms:created xsi:type="dcterms:W3CDTF">2023-06-20T12:11:00Z</dcterms:created>
  <dcterms:modified xsi:type="dcterms:W3CDTF">2023-06-21T09:39:00Z</dcterms:modified>
</cp:coreProperties>
</file>